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R4-2113210</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NCSG</w:t>
      </w:r>
      <w:bookmarkEnd w:id="0"/>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9.11.2.3</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6" w:name="_GoBack"/>
      <w:bookmarkEnd w:id="6"/>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the following agreements on the </w:t>
      </w:r>
      <w:r>
        <w:rPr>
          <w:color w:val="auto"/>
          <w:sz w:val="21"/>
          <w:szCs w:val="21"/>
          <w:lang w:val="zh-CN"/>
        </w:rPr>
        <w:t>network controlled small gap</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Scenarios and use cases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In principle, NCSG can be used for intra-frequency measurements with MG, inter-frequency measurements with MG, inter-RAT measurements.</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 xml:space="preserve">FFS on whether NW should configure the legacy MG rather than NCSG even UE can support both of them. </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 xml:space="preserve">Measuring deactivated SCC shall be studied as one scenario for NCSG usage as we agreed unless critical issues were identified.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eastAsia="宋体" w:cs="Times New Roman"/>
                <w:b/>
                <w:bCs/>
                <w:color w:val="auto"/>
                <w:sz w:val="20"/>
                <w:szCs w:val="20"/>
                <w:lang w:val="en-US" w:eastAsia="zh-CN"/>
              </w:rPr>
            </w:pPr>
            <w:r>
              <w:rPr>
                <w:rFonts w:hint="eastAsia" w:ascii="Times New Roman" w:hAnsi="Times New Roman" w:cs="Times New Roman"/>
                <w:b/>
                <w:bCs/>
                <w:color w:val="auto"/>
                <w:sz w:val="20"/>
                <w:szCs w:val="20"/>
                <w:lang w:val="en-US"/>
              </w:rPr>
              <w:t>NCSG pattern</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Define NCSG patterns for subset of the legacy MG patterns in [TS38.133 v16.5.0].</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 xml:space="preserve">FFS on which subset of legacy MG patterns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Impacts on RRM requirements due to NCSG</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The existing measurement mode requirements (effective MGRP, data scheduling depends on gap configuration) can be the baseline</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CCSF</w:t>
            </w:r>
          </w:p>
          <w:p>
            <w:pPr>
              <w:pStyle w:val="14"/>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Only one layer can be measured for each NCSG occasion, which is the assumption for deriving CSSF</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Measurement applicability</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eastAsia="宋体" w:asciiTheme="minorHAnsi" w:hAnsiTheme="minorHAnsi"/>
                <w:color w:val="auto"/>
                <w:sz w:val="22"/>
                <w:szCs w:val="22"/>
                <w:lang w:val="en-US" w:eastAsia="zh-CN"/>
              </w:rPr>
            </w:pPr>
            <w:r>
              <w:rPr>
                <w:rFonts w:hint="eastAsia" w:ascii="Times New Roman" w:hAnsi="Times New Roman" w:cs="Times New Roman"/>
                <w:color w:val="auto"/>
                <w:sz w:val="20"/>
                <w:szCs w:val="20"/>
                <w:lang w:val="en-US"/>
              </w:rPr>
              <w:t>Defer the discussion on simultaneous configuration of NCSG and legacy MG based on concurrent MG framework to the 2nd stage of this WI.</w:t>
            </w:r>
          </w:p>
        </w:tc>
      </w:tr>
    </w:tbl>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open issues.</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General NCSG pattern design principle</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Visible Interruption Length (VIL)</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Relation with ‘NeedForGap’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lang w:val="en-US" w:eastAsia="zh-CN"/>
        </w:rPr>
      </w:pPr>
      <w:r>
        <w:rPr>
          <w:rFonts w:hint="eastAsia"/>
          <w:color w:val="auto"/>
          <w:sz w:val="28"/>
          <w:szCs w:val="28"/>
          <w:lang w:val="en-US" w:eastAsia="zh-CN"/>
        </w:rPr>
        <w:t>2.1 General NCSG pattern design principle</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lang w:val="en-US" w:eastAsia="zh-CN"/>
        </w:rPr>
      </w:pPr>
      <w:r>
        <w:rPr>
          <w:rFonts w:hint="eastAsia" w:eastAsia="宋体"/>
          <w:color w:val="auto"/>
          <w:sz w:val="21"/>
          <w:szCs w:val="21"/>
          <w:lang w:val="en-US" w:eastAsia="zh-CN"/>
        </w:rPr>
        <w:t>Considering for the NCSG pattern design principle, two remaining issue are still open:</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Issue 1: NCSG pattern design</w:t>
      </w:r>
    </w:p>
    <w:p>
      <w:pPr>
        <w:pStyle w:val="14"/>
        <w:numPr>
          <w:ilvl w:val="1"/>
          <w:numId w:val="4"/>
        </w:numPr>
        <w:overflowPunct/>
        <w:autoSpaceDE/>
        <w:autoSpaceDN/>
        <w:adjustRightInd/>
        <w:spacing w:before="0" w:beforeAutospacing="0" w:after="120" w:afterAutospacing="0"/>
        <w:ind w:left="317" w:hanging="357"/>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Issue 2: Whether separate NCSG patterns needed for synchronous and asynchronous operations</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lang w:val="en-US" w:eastAsia="zh-CN"/>
        </w:rPr>
      </w:pPr>
      <w:r>
        <w:rPr>
          <w:rFonts w:hint="eastAsia" w:eastAsia="宋体"/>
          <w:color w:val="auto"/>
          <w:sz w:val="21"/>
          <w:szCs w:val="21"/>
          <w:lang w:val="en-US" w:eastAsia="zh-CN"/>
        </w:rPr>
        <w:t>For Issue 1, the following options were discussed during 98bis e-meeting.</w:t>
      </w:r>
    </w:p>
    <w:p>
      <w:pPr>
        <w:pStyle w:val="26"/>
        <w:numPr>
          <w:ilvl w:val="0"/>
          <w:numId w:val="8"/>
        </w:numPr>
        <w:ind w:left="420" w:leftChars="0" w:hanging="420"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1a</w:t>
      </w:r>
      <w:r>
        <w:rPr>
          <w:rFonts w:hint="default" w:ascii="Times New Roman" w:hAnsi="Times New Roman" w:cs="Times New Roman"/>
          <w:color w:val="auto"/>
          <w:sz w:val="20"/>
          <w:szCs w:val="20"/>
          <w:lang w:val="en-US" w:eastAsia="zh-CN"/>
        </w:rPr>
        <w:t>: Similarly as LTE, define NCSG for part of legacy</w:t>
      </w:r>
      <w:r>
        <w:rPr>
          <w:rFonts w:hint="default" w:ascii="Times New Roman" w:hAnsi="Times New Roman" w:cs="Times New Roman"/>
          <w:color w:val="auto"/>
          <w:sz w:val="20"/>
          <w:szCs w:val="20"/>
          <w:lang w:eastAsia="zh-CN"/>
        </w:rPr>
        <w:t xml:space="preserve"> gap pattern with long MGL.</w:t>
      </w:r>
    </w:p>
    <w:p>
      <w:pPr>
        <w:pStyle w:val="26"/>
        <w:numPr>
          <w:ilvl w:val="0"/>
          <w:numId w:val="8"/>
        </w:numPr>
        <w:ind w:left="420" w:leftChars="0" w:hanging="420"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1b</w:t>
      </w:r>
      <w:r>
        <w:rPr>
          <w:rFonts w:hint="default" w:ascii="Times New Roman" w:hAnsi="Times New Roman" w:cs="Times New Roman"/>
          <w:color w:val="auto"/>
          <w:sz w:val="20"/>
          <w:szCs w:val="20"/>
        </w:rPr>
        <w:t xml:space="preserve">: </w:t>
      </w:r>
      <w:r>
        <w:rPr>
          <w:rFonts w:hint="default" w:ascii="Times New Roman" w:hAnsi="Times New Roman" w:cs="Times New Roman"/>
          <w:color w:val="auto"/>
          <w:sz w:val="20"/>
          <w:szCs w:val="20"/>
          <w:lang w:val="en-US" w:eastAsia="zh-CN"/>
        </w:rPr>
        <w:t>If the support of NCSG and the support of legacy MG patterns can be independently indicated, then all the existing MG patterns can be extended to be NCSG.</w:t>
      </w:r>
    </w:p>
    <w:p>
      <w:pPr>
        <w:pStyle w:val="26"/>
        <w:numPr>
          <w:ilvl w:val="0"/>
          <w:numId w:val="8"/>
        </w:numPr>
        <w:ind w:left="420" w:leftChars="0" w:hanging="420"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Option 2</w:t>
      </w:r>
      <w:r>
        <w:rPr>
          <w:rFonts w:hint="default" w:ascii="Times New Roman" w:hAnsi="Times New Roman" w:cs="Times New Roman"/>
          <w:color w:val="auto"/>
          <w:sz w:val="20"/>
          <w:szCs w:val="20"/>
          <w:lang w:val="en-US" w:eastAsia="zh-CN"/>
        </w:rPr>
        <w:t>:</w:t>
      </w:r>
      <w:r>
        <w:rPr>
          <w:rFonts w:hint="default" w:ascii="Times New Roman" w:hAnsi="Times New Roman" w:cs="Times New Roman"/>
          <w:color w:val="auto"/>
          <w:sz w:val="20"/>
          <w:szCs w:val="20"/>
        </w:rPr>
        <w:t xml:space="preserve"> </w:t>
      </w:r>
      <w:r>
        <w:rPr>
          <w:rFonts w:hint="default" w:ascii="Times New Roman" w:hAnsi="Times New Roman" w:cs="Times New Roman"/>
          <w:color w:val="auto"/>
          <w:sz w:val="20"/>
          <w:szCs w:val="20"/>
          <w:lang w:val="en-US" w:eastAsia="zh-CN"/>
        </w:rPr>
        <w:t>R</w:t>
      </w:r>
      <w:r>
        <w:rPr>
          <w:rFonts w:hint="default" w:ascii="Times New Roman" w:hAnsi="Times New Roman" w:cs="Times New Roman"/>
          <w:color w:val="auto"/>
          <w:sz w:val="20"/>
          <w:szCs w:val="20"/>
        </w:rPr>
        <w:t>euse part of the legacy MG patterns as the new NCSG patterns in NR.</w:t>
      </w:r>
    </w:p>
    <w:p>
      <w:pPr>
        <w:pStyle w:val="26"/>
        <w:numPr>
          <w:ilvl w:val="0"/>
          <w:numId w:val="9"/>
        </w:numPr>
        <w:ind w:left="0" w:leftChars="0" w:firstLine="36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2a: </w:t>
      </w:r>
    </w:p>
    <w:p>
      <w:pPr>
        <w:pStyle w:val="26"/>
        <w:numPr>
          <w:ilvl w:val="2"/>
          <w:numId w:val="10"/>
        </w:numPr>
        <w:ind w:left="126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Do not design NCSG for legacy NR measurement gap when the MGL of that legacy measurement gap is less than a particular threshold, for example 4ms for FR1 (3.5ms for FR2) </w:t>
      </w:r>
    </w:p>
    <w:p>
      <w:pPr>
        <w:pStyle w:val="26"/>
        <w:numPr>
          <w:ilvl w:val="2"/>
          <w:numId w:val="10"/>
        </w:numPr>
        <w:ind w:left="126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Do not design NCSG for legacy NR measurement gap when the percentage of (VIL1+VIL2)/ML is larger than a particular threshold, for example 2. </w:t>
      </w:r>
    </w:p>
    <w:p>
      <w:pPr>
        <w:pStyle w:val="26"/>
        <w:numPr>
          <w:ilvl w:val="2"/>
          <w:numId w:val="10"/>
        </w:numPr>
        <w:ind w:left="126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NCSG for legacy NR measurement gap with MGRP = 20ms are not defined.</w:t>
      </w:r>
    </w:p>
    <w:p>
      <w:pPr>
        <w:pStyle w:val="26"/>
        <w:numPr>
          <w:ilvl w:val="0"/>
          <w:numId w:val="11"/>
        </w:numPr>
        <w:ind w:left="84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Option 2b: Prefer to reuse part of the legacy MG patterns as reference for NR NCSG patterns, with long MGL, e.g., 6ms for FR1 or 5.5ms FR2.</w:t>
      </w:r>
    </w:p>
    <w:p>
      <w:pPr>
        <w:pStyle w:val="26"/>
        <w:numPr>
          <w:ilvl w:val="0"/>
          <w:numId w:val="9"/>
        </w:numPr>
        <w:ind w:left="0" w:leftChars="0" w:firstLine="36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Option 2c</w:t>
      </w:r>
      <w:r>
        <w:rPr>
          <w:rFonts w:hint="default" w:ascii="Times New Roman" w:hAnsi="Times New Roman" w:cs="Times New Roman"/>
          <w:color w:val="auto"/>
          <w:sz w:val="20"/>
          <w:szCs w:val="20"/>
          <w:lang w:val="en-US" w:eastAsia="zh-CN"/>
        </w:rPr>
        <w:t>:</w:t>
      </w:r>
    </w:p>
    <w:p>
      <w:pPr>
        <w:pStyle w:val="26"/>
        <w:numPr>
          <w:ilvl w:val="2"/>
          <w:numId w:val="10"/>
        </w:numPr>
        <w:ind w:left="126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gap patterns #24 and #25 won’t apply to NCSG.</w:t>
      </w:r>
    </w:p>
    <w:p>
      <w:pPr>
        <w:pStyle w:val="26"/>
        <w:numPr>
          <w:ilvl w:val="2"/>
          <w:numId w:val="10"/>
        </w:numPr>
        <w:ind w:left="126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per UE NCSG doesnot consider the patterns of legacy MGs with IDs 2-3. (0-1 are recommended)</w:t>
      </w:r>
    </w:p>
    <w:p>
      <w:pPr>
        <w:pStyle w:val="26"/>
        <w:numPr>
          <w:ilvl w:val="2"/>
          <w:numId w:val="10"/>
        </w:numPr>
        <w:ind w:left="126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per FR1 NCSG doesnot consider the patterns of legacy MGs with IDs 2-3 and 6-11. (0/1/4/5 are recommended)</w:t>
      </w:r>
    </w:p>
    <w:p>
      <w:pPr>
        <w:pStyle w:val="26"/>
        <w:numPr>
          <w:ilvl w:val="2"/>
          <w:numId w:val="10"/>
        </w:numPr>
        <w:ind w:left="126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per FR2 NCSG doesnot consider the patterns of legacy MGs with IDs 20-23. (12-19 are recommended)</w:t>
      </w:r>
    </w:p>
    <w:p>
      <w:pPr>
        <w:pStyle w:val="26"/>
        <w:numPr>
          <w:ilvl w:val="0"/>
          <w:numId w:val="12"/>
        </w:numPr>
        <w:tabs>
          <w:tab w:val="clear" w:pos="420"/>
        </w:tabs>
        <w:ind w:left="840" w:leftChars="0" w:hanging="42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Option 2d</w:t>
      </w:r>
    </w:p>
    <w:p>
      <w:pPr>
        <w:pStyle w:val="26"/>
        <w:numPr>
          <w:ilvl w:val="0"/>
          <w:numId w:val="13"/>
        </w:numPr>
        <w:tabs>
          <w:tab w:val="clear" w:pos="-420"/>
        </w:tabs>
        <w:ind w:left="-420" w:leftChars="0" w:firstLine="126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Gap patterns #24 and #25 are excluded.</w:t>
      </w:r>
    </w:p>
    <w:p>
      <w:pPr>
        <w:pStyle w:val="26"/>
        <w:numPr>
          <w:ilvl w:val="0"/>
          <w:numId w:val="13"/>
        </w:numPr>
        <w:tabs>
          <w:tab w:val="clear" w:pos="-420"/>
        </w:tabs>
        <w:ind w:left="-420" w:leftChars="0" w:firstLine="126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Gap patterns #20 to #23 are excluded.</w:t>
      </w:r>
    </w:p>
    <w:p>
      <w:pPr>
        <w:pStyle w:val="26"/>
        <w:numPr>
          <w:ilvl w:val="0"/>
          <w:numId w:val="13"/>
        </w:numPr>
        <w:tabs>
          <w:tab w:val="clear" w:pos="-420"/>
        </w:tabs>
        <w:ind w:left="-420" w:leftChars="0" w:firstLine="1260"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Gap patterns #2, #3 and #10, #11 are excluded</w:t>
      </w:r>
    </w:p>
    <w:p>
      <w:pPr>
        <w:pStyle w:val="26"/>
        <w:numPr>
          <w:ilvl w:val="0"/>
          <w:numId w:val="14"/>
        </w:numPr>
        <w:ind w:left="-420" w:leftChars="0" w:firstLine="360"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Option 3</w:t>
      </w:r>
      <w:r>
        <w:rPr>
          <w:rFonts w:hint="default" w:ascii="Times New Roman" w:hAnsi="Times New Roman" w:cs="Times New Roman"/>
          <w:color w:val="auto"/>
          <w:sz w:val="20"/>
          <w:szCs w:val="20"/>
          <w:lang w:val="en-US" w:eastAsia="zh-CN"/>
        </w:rPr>
        <w:t xml:space="preserve">: </w:t>
      </w:r>
      <w:r>
        <w:rPr>
          <w:rFonts w:hint="default" w:ascii="Times New Roman" w:hAnsi="Times New Roman" w:eastAsia="宋体" w:cs="Times New Roman"/>
          <w:color w:val="auto"/>
          <w:sz w:val="20"/>
          <w:szCs w:val="20"/>
          <w:lang w:eastAsia="zh-CN"/>
        </w:rPr>
        <w:t xml:space="preserve">Define </w:t>
      </w:r>
      <w:r>
        <w:rPr>
          <w:rFonts w:hint="default" w:ascii="Times New Roman" w:hAnsi="Times New Roman" w:cs="Times New Roman"/>
          <w:color w:val="auto"/>
          <w:sz w:val="20"/>
          <w:szCs w:val="20"/>
        </w:rPr>
        <w:t>NCSG patterns corresponding to legacy gap patterns with ID # 0 to ID #23.</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lang w:val="en-US" w:eastAsia="zh-CN"/>
        </w:rPr>
      </w:pPr>
      <w:r>
        <w:rPr>
          <w:rFonts w:hint="eastAsia" w:eastAsia="宋体"/>
          <w:color w:val="auto"/>
          <w:sz w:val="21"/>
          <w:szCs w:val="21"/>
          <w:lang w:val="en-US" w:eastAsia="zh-CN"/>
        </w:rPr>
        <w:t xml:space="preserve">Regarding NCSG pattern design, it is natural to reuse the legacy MG patterns as NCSG patterns in NR. Considering from the motivation of NCSG, we should further determine whether all of the legacy MG patterns are suitable as NCSG patterns. </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lang w:val="en-US" w:eastAsia="zh-CN"/>
        </w:rPr>
      </w:pPr>
      <w:r>
        <w:rPr>
          <w:rFonts w:hint="eastAsia" w:eastAsia="宋体"/>
          <w:color w:val="auto"/>
          <w:sz w:val="21"/>
          <w:szCs w:val="21"/>
          <w:lang w:val="en-US" w:eastAsia="zh-CN"/>
        </w:rPr>
        <w:t>Firstly, legacy patterns #24 and #25 are questionable. The two legacy patterns are intended for positioning measurement, it seems contradict with the motivation of introducing NCSG, so legacy patterns #24 and # 25 can be precluded from NCSG patterns.</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lang w:val="en-US" w:eastAsia="zh-CN"/>
        </w:rPr>
      </w:pPr>
      <w:r>
        <w:rPr>
          <w:rFonts w:hint="eastAsia" w:eastAsia="宋体"/>
          <w:color w:val="auto"/>
          <w:sz w:val="21"/>
          <w:szCs w:val="21"/>
          <w:lang w:val="en-US" w:eastAsia="zh-CN"/>
        </w:rPr>
        <w:t xml:space="preserve">Some companies questioned legacy pattern #20 to #23, since they have very short MGL, so the benefit of NCSG will decrease. The similar concern also happened for legacy pattern #2, #3, #10 and #11. </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lang w:val="en-US" w:eastAsia="zh-CN"/>
        </w:rPr>
      </w:pPr>
      <w:r>
        <w:rPr>
          <w:rFonts w:hint="eastAsia" w:eastAsia="宋体"/>
          <w:color w:val="auto"/>
          <w:sz w:val="21"/>
          <w:szCs w:val="21"/>
          <w:lang w:val="en-US" w:eastAsia="zh-CN"/>
        </w:rPr>
        <w:t>From the perspective of our view, considering the length of VIL and ML are still open, however MGL = VIL1+ML+VIL1, so it is too early and hasty to preclude the short MGL legacy patterns from NCSG patterns, so we prefer Option 3, i.e. reuse legacy patterns #0 to # 23 as NCSG patterns, NW can configure a suitable pattern from the 24 patterns as NCSG pattern for UE depending on the specific use case.</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Times New Roman" w:hAnsi="Times New Roman" w:eastAsia="宋体" w:cs="Times New Roman"/>
          <w:b/>
          <w:bCs/>
          <w:color w:val="auto"/>
          <w:sz w:val="21"/>
          <w:szCs w:val="21"/>
          <w:lang w:val="en-US" w:eastAsia="zh-CN" w:bidi="ar-SA"/>
        </w:rPr>
        <w:t>: Define NCSG patterns corresponding to legacy gap patterns with ID # 0 to ID #23.</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lang w:val="en-US" w:eastAsia="zh-CN"/>
        </w:rPr>
      </w:pPr>
      <w:r>
        <w:rPr>
          <w:rFonts w:hint="eastAsia" w:ascii="Times New Roman" w:hAnsi="Times New Roman" w:eastAsia="宋体" w:cs="Times New Roman"/>
          <w:color w:val="auto"/>
          <w:sz w:val="21"/>
          <w:szCs w:val="21"/>
          <w:lang w:val="en-US" w:eastAsia="zh-CN" w:bidi="ar-SA"/>
        </w:rPr>
        <w:t xml:space="preserve">For Issue 2, in LTE, for each </w:t>
      </w:r>
      <w:r>
        <w:rPr>
          <w:rFonts w:hint="eastAsia" w:eastAsia="宋体" w:cs="Times New Roman"/>
          <w:color w:val="auto"/>
          <w:sz w:val="21"/>
          <w:szCs w:val="21"/>
          <w:lang w:val="en-US" w:eastAsia="zh-CN" w:bidi="ar-SA"/>
        </w:rPr>
        <w:t xml:space="preserve">MG </w:t>
      </w:r>
      <w:r>
        <w:rPr>
          <w:rFonts w:hint="eastAsia" w:ascii="Times New Roman" w:hAnsi="Times New Roman" w:eastAsia="宋体" w:cs="Times New Roman"/>
          <w:color w:val="auto"/>
          <w:sz w:val="21"/>
          <w:szCs w:val="21"/>
          <w:lang w:val="en-US" w:eastAsia="zh-CN" w:bidi="ar-SA"/>
        </w:rPr>
        <w:t>pattern, there are two NCSG patterns for asynchronous DC scenario and synchronous DC, respectively.</w:t>
      </w:r>
      <w:r>
        <w:rPr>
          <w:rFonts w:hint="eastAsia" w:eastAsia="宋体" w:cs="Times New Roman"/>
          <w:color w:val="auto"/>
          <w:sz w:val="21"/>
          <w:szCs w:val="21"/>
          <w:lang w:val="en-US" w:eastAsia="zh-CN" w:bidi="ar-SA"/>
        </w:rPr>
        <w:t xml:space="preserve"> The main reason for LTE to separately define </w:t>
      </w:r>
      <w:r>
        <w:rPr>
          <w:rFonts w:hint="eastAsia" w:ascii="Times New Roman" w:hAnsi="Times New Roman" w:eastAsia="宋体" w:cs="Times New Roman"/>
          <w:color w:val="auto"/>
          <w:sz w:val="21"/>
          <w:szCs w:val="21"/>
          <w:lang w:val="en-US" w:eastAsia="zh-CN" w:bidi="ar-SA"/>
        </w:rPr>
        <w:t xml:space="preserve">asynchronous </w:t>
      </w:r>
      <w:r>
        <w:rPr>
          <w:rFonts w:hint="eastAsia" w:eastAsia="宋体" w:cs="Times New Roman"/>
          <w:color w:val="auto"/>
          <w:sz w:val="21"/>
          <w:szCs w:val="21"/>
          <w:lang w:val="en-US" w:eastAsia="zh-CN" w:bidi="ar-SA"/>
        </w:rPr>
        <w:t xml:space="preserve">NCSG pattern and </w:t>
      </w:r>
      <w:r>
        <w:rPr>
          <w:rFonts w:hint="eastAsia" w:ascii="Times New Roman" w:hAnsi="Times New Roman" w:eastAsia="宋体" w:cs="Times New Roman"/>
          <w:color w:val="auto"/>
          <w:sz w:val="21"/>
          <w:szCs w:val="21"/>
          <w:lang w:val="en-US" w:eastAsia="zh-CN" w:bidi="ar-SA"/>
        </w:rPr>
        <w:t xml:space="preserve">synchronous </w:t>
      </w:r>
      <w:r>
        <w:rPr>
          <w:rFonts w:hint="eastAsia" w:eastAsia="宋体" w:cs="Times New Roman"/>
          <w:color w:val="auto"/>
          <w:sz w:val="21"/>
          <w:szCs w:val="21"/>
          <w:lang w:val="en-US" w:eastAsia="zh-CN" w:bidi="ar-SA"/>
        </w:rPr>
        <w:t xml:space="preserve">pattern is that LTE only supports NCSG based on GP #0 and GP #1 with MGL=6 ms. The flexibility of selection for </w:t>
      </w:r>
      <w:r>
        <w:rPr>
          <w:rFonts w:hint="eastAsia" w:ascii="Times New Roman" w:hAnsi="Times New Roman" w:eastAsia="宋体" w:cs="Times New Roman"/>
          <w:color w:val="auto"/>
          <w:sz w:val="21"/>
          <w:szCs w:val="21"/>
          <w:lang w:val="en-US" w:eastAsia="zh-CN" w:bidi="ar-SA"/>
        </w:rPr>
        <w:t xml:space="preserve">asynchronous </w:t>
      </w:r>
      <w:r>
        <w:rPr>
          <w:rFonts w:hint="eastAsia" w:eastAsia="宋体" w:cs="Times New Roman"/>
          <w:color w:val="auto"/>
          <w:sz w:val="21"/>
          <w:szCs w:val="21"/>
          <w:lang w:val="en-US" w:eastAsia="zh-CN" w:bidi="ar-SA"/>
        </w:rPr>
        <w:t xml:space="preserve">case and </w:t>
      </w:r>
      <w:r>
        <w:rPr>
          <w:rFonts w:hint="eastAsia" w:ascii="Times New Roman" w:hAnsi="Times New Roman" w:eastAsia="宋体" w:cs="Times New Roman"/>
          <w:color w:val="auto"/>
          <w:sz w:val="21"/>
          <w:szCs w:val="21"/>
          <w:lang w:val="en-US" w:eastAsia="zh-CN" w:bidi="ar-SA"/>
        </w:rPr>
        <w:t xml:space="preserve">synchronous </w:t>
      </w:r>
      <w:r>
        <w:rPr>
          <w:rFonts w:hint="eastAsia" w:eastAsia="宋体" w:cs="Times New Roman"/>
          <w:color w:val="auto"/>
          <w:sz w:val="21"/>
          <w:szCs w:val="21"/>
          <w:lang w:val="en-US" w:eastAsia="zh-CN" w:bidi="ar-SA"/>
        </w:rPr>
        <w:t xml:space="preserve">case is limited by the small total number of patterns. But for NR, based on our above analysis, totally 24 legacy patterns can be reused as NCSG pattern, so NW is flexible enough to select suitable NCSG pattern depending on the requirements for </w:t>
      </w:r>
      <w:r>
        <w:rPr>
          <w:rFonts w:hint="eastAsia" w:ascii="Times New Roman" w:hAnsi="Times New Roman" w:eastAsia="宋体" w:cs="Times New Roman"/>
          <w:color w:val="auto"/>
          <w:sz w:val="21"/>
          <w:szCs w:val="21"/>
          <w:lang w:val="en-US" w:eastAsia="zh-CN" w:bidi="ar-SA"/>
        </w:rPr>
        <w:t xml:space="preserve">synchronous </w:t>
      </w:r>
      <w:r>
        <w:rPr>
          <w:rFonts w:hint="eastAsia" w:eastAsia="宋体" w:cs="Times New Roman"/>
          <w:color w:val="auto"/>
          <w:sz w:val="21"/>
          <w:szCs w:val="21"/>
          <w:lang w:val="en-US" w:eastAsia="zh-CN" w:bidi="ar-SA"/>
        </w:rPr>
        <w:t xml:space="preserve">case and </w:t>
      </w:r>
      <w:r>
        <w:rPr>
          <w:rFonts w:hint="eastAsia" w:ascii="Times New Roman" w:hAnsi="Times New Roman" w:eastAsia="宋体" w:cs="Times New Roman"/>
          <w:color w:val="auto"/>
          <w:sz w:val="21"/>
          <w:szCs w:val="21"/>
          <w:lang w:val="en-US" w:eastAsia="zh-CN" w:bidi="ar-SA"/>
        </w:rPr>
        <w:t xml:space="preserve">asynchronous </w:t>
      </w:r>
      <w:r>
        <w:rPr>
          <w:rFonts w:hint="eastAsia" w:eastAsia="宋体" w:cs="Times New Roman"/>
          <w:color w:val="auto"/>
          <w:sz w:val="21"/>
          <w:szCs w:val="21"/>
          <w:lang w:val="en-US" w:eastAsia="zh-CN" w:bidi="ar-SA"/>
        </w:rPr>
        <w:t xml:space="preserve">case. Further more, the difference of interruption length between </w:t>
      </w:r>
      <w:r>
        <w:rPr>
          <w:rFonts w:hint="eastAsia" w:ascii="Times New Roman" w:hAnsi="Times New Roman" w:eastAsia="宋体" w:cs="Times New Roman"/>
          <w:color w:val="auto"/>
          <w:sz w:val="21"/>
          <w:szCs w:val="21"/>
          <w:lang w:val="en-US" w:eastAsia="zh-CN" w:bidi="ar-SA"/>
        </w:rPr>
        <w:t xml:space="preserve">synchronous </w:t>
      </w:r>
      <w:r>
        <w:rPr>
          <w:rFonts w:hint="eastAsia" w:eastAsia="宋体" w:cs="Times New Roman"/>
          <w:color w:val="auto"/>
          <w:sz w:val="21"/>
          <w:szCs w:val="21"/>
          <w:lang w:val="en-US" w:eastAsia="zh-CN" w:bidi="ar-SA"/>
        </w:rPr>
        <w:t xml:space="preserve">case and </w:t>
      </w:r>
      <w:r>
        <w:rPr>
          <w:rFonts w:hint="eastAsia" w:ascii="Times New Roman" w:hAnsi="Times New Roman" w:eastAsia="宋体" w:cs="Times New Roman"/>
          <w:color w:val="auto"/>
          <w:sz w:val="21"/>
          <w:szCs w:val="21"/>
          <w:lang w:val="en-US" w:eastAsia="zh-CN" w:bidi="ar-SA"/>
        </w:rPr>
        <w:t xml:space="preserve">asynchronous </w:t>
      </w:r>
      <w:r>
        <w:rPr>
          <w:rFonts w:hint="eastAsia" w:eastAsia="宋体" w:cs="Times New Roman"/>
          <w:color w:val="auto"/>
          <w:sz w:val="21"/>
          <w:szCs w:val="21"/>
          <w:lang w:val="en-US" w:eastAsia="zh-CN" w:bidi="ar-SA"/>
        </w:rPr>
        <w:t xml:space="preserve">case can be reflected through VIL. Therefore, it is not need to separate NCSG patterns needed </w:t>
      </w:r>
      <w:r>
        <w:rPr>
          <w:rFonts w:hint="eastAsia" w:eastAsia="宋体"/>
          <w:color w:val="auto"/>
          <w:sz w:val="21"/>
          <w:szCs w:val="21"/>
          <w:lang w:val="en-US" w:eastAsia="zh-CN"/>
        </w:rPr>
        <w:t>for synchronous and asynchronous operations.</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 There is no need to separate NCSG patterns needed for synchronous and asynchronous operations.</w:t>
      </w:r>
    </w:p>
    <w:p>
      <w:pPr>
        <w:pStyle w:val="4"/>
        <w:bidi w:val="0"/>
        <w:rPr>
          <w:rFonts w:hint="eastAsia"/>
          <w:color w:val="auto"/>
          <w:sz w:val="28"/>
          <w:szCs w:val="28"/>
          <w:lang w:val="en-US" w:eastAsia="zh-CN"/>
        </w:rPr>
      </w:pPr>
      <w:r>
        <w:rPr>
          <w:rFonts w:hint="eastAsia"/>
          <w:color w:val="auto"/>
          <w:sz w:val="28"/>
          <w:szCs w:val="28"/>
          <w:lang w:val="en-US" w:eastAsia="zh-CN"/>
        </w:rPr>
        <w:t>2.2 Visible Interruption Length (VIL)</w:t>
      </w:r>
    </w:p>
    <w:p>
      <w:pPr>
        <w:pStyle w:val="3"/>
        <w:keepNext w:val="0"/>
        <w:keepLines w:val="0"/>
        <w:pageBreakBefore w:val="0"/>
        <w:widowControl/>
        <w:kinsoku/>
        <w:wordWrap/>
        <w:overflowPunct/>
        <w:topLinePunct w:val="0"/>
        <w:autoSpaceDE/>
        <w:autoSpaceDN/>
        <w:bidi w:val="0"/>
        <w:adjustRightInd/>
        <w:snapToGrid/>
        <w:textAlignment w:val="auto"/>
        <w:rPr>
          <w:rFonts w:hint="default"/>
          <w:color w:val="auto"/>
          <w:sz w:val="28"/>
          <w:szCs w:val="28"/>
          <w:lang w:val="en-US" w:eastAsia="zh-CN"/>
        </w:rPr>
      </w:pPr>
      <w:r>
        <w:rPr>
          <w:rFonts w:hint="eastAsia" w:eastAsia="宋体"/>
          <w:color w:val="auto"/>
          <w:sz w:val="21"/>
          <w:szCs w:val="21"/>
          <w:lang w:val="en-US" w:eastAsia="zh-CN"/>
        </w:rPr>
        <w:t>For VIL, after discussion in 99 e-meeting, the definition of VIL is still open. The following options were provided.</w:t>
      </w:r>
    </w:p>
    <w:p>
      <w:pPr>
        <w:pStyle w:val="26"/>
        <w:numPr>
          <w:ilvl w:val="0"/>
          <w:numId w:val="15"/>
        </w:numPr>
        <w:ind w:left="420" w:leftChars="0" w:hanging="420" w:firstLineChars="0"/>
        <w:rPr>
          <w:rFonts w:hint="default" w:ascii="Times New Roman" w:hAnsi="Times New Roman" w:cs="Times New Roman" w:eastAsiaTheme="minorEastAsia"/>
          <w:color w:val="auto"/>
          <w:lang w:val="en-US" w:eastAsia="zh-CN"/>
        </w:rPr>
      </w:pPr>
      <w:bookmarkStart w:id="1" w:name="OLE_LINK28"/>
      <w:r>
        <w:rPr>
          <w:rFonts w:hint="default" w:ascii="Times New Roman" w:hAnsi="Times New Roman" w:cs="Times New Roman" w:eastAsiaTheme="minorEastAsia"/>
          <w:color w:val="auto"/>
          <w:lang w:val="en-US" w:eastAsia="zh-CN"/>
        </w:rPr>
        <w:t xml:space="preserve">Option 1a (Qualcomm, Intel, Ericsson, vivo): </w:t>
      </w:r>
      <w:bookmarkStart w:id="2" w:name="OLE_LINK33"/>
      <w:bookmarkStart w:id="3" w:name="OLE_LINK32"/>
      <w:r>
        <w:rPr>
          <w:rFonts w:hint="default" w:ascii="Times New Roman" w:hAnsi="Times New Roman" w:cs="Times New Roman" w:eastAsiaTheme="minorEastAsia"/>
          <w:color w:val="auto"/>
          <w:lang w:val="en-US" w:eastAsia="zh-CN"/>
        </w:rPr>
        <w:t>VIL should be explicitly defined base on the number of interrupted durations</w:t>
      </w:r>
      <w:bookmarkEnd w:id="2"/>
      <w:bookmarkEnd w:id="3"/>
      <w:r>
        <w:rPr>
          <w:rFonts w:hint="default" w:ascii="Times New Roman" w:hAnsi="Times New Roman" w:cs="Times New Roman" w:eastAsiaTheme="minorEastAsia"/>
          <w:color w:val="auto"/>
          <w:lang w:val="en-US" w:eastAsia="zh-CN"/>
        </w:rPr>
        <w:t xml:space="preserve"> in absolute time </w:t>
      </w:r>
    </w:p>
    <w:p>
      <w:pPr>
        <w:bidi w:val="0"/>
        <w:jc w:val="center"/>
        <w:rPr>
          <w:rFonts w:hint="default"/>
          <w:color w:val="auto"/>
          <w:lang w:val="en-US" w:eastAsia="zh-CN"/>
        </w:rPr>
      </w:pPr>
      <w:r>
        <w:rPr>
          <w:rFonts w:hint="default"/>
          <w:color w:val="auto"/>
          <w:lang w:val="en-US" w:eastAsia="zh-CN"/>
        </w:rPr>
        <w:t>e.g. VIL1 and VIL2 for FR1 and FR2 are defined as follows: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1276"/>
        <w:gridCol w:w="1488"/>
        <w:gridCol w:w="1484"/>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2" w:type="dxa"/>
            <w:vMerge w:val="restart"/>
            <w:tcBorders>
              <w:top w:val="single" w:color="auto" w:sz="4" w:space="0"/>
              <w:left w:val="single" w:color="auto" w:sz="4" w:space="0"/>
              <w:right w:val="single" w:color="auto" w:sz="4" w:space="0"/>
            </w:tcBorders>
          </w:tcPr>
          <w:p>
            <w:pPr>
              <w:bidi w:val="0"/>
              <w:rPr>
                <w:rFonts w:hint="default"/>
                <w:color w:val="auto"/>
                <w:lang w:val="en-US" w:eastAsia="zh-CN"/>
              </w:rPr>
            </w:pPr>
            <w:r>
              <w:rPr>
                <w:rFonts w:hint="default"/>
                <w:color w:val="auto"/>
                <w:lang w:val="en-US" w:eastAsia="zh-CN"/>
              </w:rPr>
              <w:t>FR</w:t>
            </w:r>
          </w:p>
        </w:tc>
        <w:tc>
          <w:tcPr>
            <w:tcW w:w="2764"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VIL1</w:t>
            </w:r>
          </w:p>
        </w:tc>
        <w:tc>
          <w:tcPr>
            <w:tcW w:w="2968"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VIL2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2" w:type="dxa"/>
            <w:vMerge w:val="continue"/>
            <w:tcBorders>
              <w:left w:val="single" w:color="auto" w:sz="4" w:space="0"/>
              <w:bottom w:val="single" w:color="auto" w:sz="4" w:space="0"/>
              <w:right w:val="single" w:color="auto" w:sz="4" w:space="0"/>
            </w:tcBorders>
          </w:tcPr>
          <w:p>
            <w:pPr>
              <w:bidi w:val="0"/>
              <w:rPr>
                <w:rFonts w:hint="default"/>
                <w:color w:val="auto"/>
                <w:lang w:val="en-US" w:eastAsia="zh-CN"/>
              </w:rPr>
            </w:pPr>
          </w:p>
        </w:tc>
        <w:tc>
          <w:tcPr>
            <w:tcW w:w="1276"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Sync</w:t>
            </w:r>
          </w:p>
        </w:tc>
        <w:tc>
          <w:tcPr>
            <w:tcW w:w="1488"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Async</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Sync</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FR1</w:t>
            </w:r>
          </w:p>
        </w:tc>
        <w:tc>
          <w:tcPr>
            <w:tcW w:w="1276"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1 ms</w:t>
            </w:r>
          </w:p>
        </w:tc>
        <w:tc>
          <w:tcPr>
            <w:tcW w:w="1488"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2 ms</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1 ms</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FR2</w:t>
            </w:r>
          </w:p>
        </w:tc>
        <w:tc>
          <w:tcPr>
            <w:tcW w:w="2764"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0.75 ms</w:t>
            </w:r>
          </w:p>
        </w:tc>
        <w:tc>
          <w:tcPr>
            <w:tcW w:w="2968"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0.75 ms</w:t>
            </w:r>
          </w:p>
        </w:tc>
      </w:tr>
    </w:tbl>
    <w:p>
      <w:pPr>
        <w:bidi w:val="0"/>
        <w:rPr>
          <w:rFonts w:hint="default"/>
          <w:color w:val="auto"/>
          <w:lang w:val="en-US" w:eastAsia="zh-CN"/>
        </w:rPr>
      </w:pPr>
    </w:p>
    <w:p>
      <w:pPr>
        <w:pStyle w:val="26"/>
        <w:numPr>
          <w:ilvl w:val="0"/>
          <w:numId w:val="15"/>
        </w:numPr>
        <w:ind w:left="42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 xml:space="preserve">Option 1b (Apple, CATT): VIL should be explicitly defined based on the number of  interrupted duration in slot </w:t>
      </w:r>
    </w:p>
    <w:p>
      <w:pPr>
        <w:pStyle w:val="26"/>
        <w:numPr>
          <w:ilvl w:val="0"/>
          <w:numId w:val="15"/>
        </w:numPr>
        <w:ind w:left="42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Option 2( MTK, Huawei, CMCC, Nokia): based on absolute  RF retuning time (tentatively denoted as “RRT”).</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lang w:val="en-US" w:eastAsia="zh-CN"/>
        </w:rPr>
      </w:pPr>
      <w:r>
        <w:rPr>
          <w:rFonts w:hint="eastAsia" w:eastAsia="宋体"/>
          <w:color w:val="auto"/>
          <w:sz w:val="21"/>
          <w:szCs w:val="21"/>
          <w:lang w:val="en-US" w:eastAsia="zh-CN"/>
        </w:rPr>
        <w:t>For the absolute value of VIL, some companies proposed which should be equal to the RRT(RF retuning time), but we think actually UE needs to perform more than RF retuning, additionally UE needs some time to prepare the simultaneous normal Tx/Rx on the serving cell and measurement on the target carrier. We agree with the absolute value given in Option 1a，which comes from Table 8.2.4.2.6-1 in 38.133, the interruption between DRX and non-DRX. UE needs to operate similar processing between such transition and VIL discussed here. Considering the values given in the above table are all integral multiple of slot for the corresponding SCS, so we think Option 1b is equivalent to Option 1a.</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3: The VIL can be defined as the absolute time of ms or interrupted slots, the duration of VIL should be larger than RRT. For the exact value, refer to the following table.</w:t>
      </w:r>
    </w:p>
    <w:p>
      <w:pPr>
        <w:bidi w:val="0"/>
        <w:jc w:val="center"/>
        <w:rPr>
          <w:rFonts w:hint="default"/>
          <w:color w:val="auto"/>
          <w:lang w:val="en-US" w:eastAsia="zh-CN"/>
        </w:rPr>
      </w:pPr>
      <w:r>
        <w:rPr>
          <w:rFonts w:hint="eastAsia" w:eastAsia="宋体" w:cs="Times New Roman"/>
          <w:b/>
          <w:bCs/>
          <w:color w:val="auto"/>
          <w:sz w:val="21"/>
          <w:szCs w:val="21"/>
          <w:lang w:val="en-US" w:eastAsia="zh-CN" w:bidi="ar-SA"/>
        </w:rPr>
        <w:t xml:space="preserve"> </w:t>
      </w:r>
      <w:r>
        <w:rPr>
          <w:rFonts w:hint="default"/>
          <w:color w:val="auto"/>
          <w:lang w:val="en-US" w:eastAsia="zh-CN"/>
        </w:rPr>
        <w:t>VIL1 and VIL2 for FR1 and FR2</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1276"/>
        <w:gridCol w:w="1488"/>
        <w:gridCol w:w="1484"/>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2" w:type="dxa"/>
            <w:vMerge w:val="restart"/>
            <w:tcBorders>
              <w:top w:val="single" w:color="auto" w:sz="4" w:space="0"/>
              <w:left w:val="single" w:color="auto" w:sz="4" w:space="0"/>
              <w:right w:val="single" w:color="auto" w:sz="4" w:space="0"/>
            </w:tcBorders>
          </w:tcPr>
          <w:p>
            <w:pPr>
              <w:bidi w:val="0"/>
              <w:rPr>
                <w:rFonts w:hint="default"/>
                <w:color w:val="auto"/>
                <w:lang w:val="en-US" w:eastAsia="zh-CN"/>
              </w:rPr>
            </w:pPr>
            <w:r>
              <w:rPr>
                <w:rFonts w:hint="default"/>
                <w:color w:val="auto"/>
                <w:lang w:val="en-US" w:eastAsia="zh-CN"/>
              </w:rPr>
              <w:t>FR</w:t>
            </w:r>
          </w:p>
        </w:tc>
        <w:tc>
          <w:tcPr>
            <w:tcW w:w="2764"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VIL1</w:t>
            </w:r>
          </w:p>
        </w:tc>
        <w:tc>
          <w:tcPr>
            <w:tcW w:w="2968"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VIL2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2" w:type="dxa"/>
            <w:vMerge w:val="continue"/>
            <w:tcBorders>
              <w:left w:val="single" w:color="auto" w:sz="4" w:space="0"/>
              <w:bottom w:val="single" w:color="auto" w:sz="4" w:space="0"/>
              <w:right w:val="single" w:color="auto" w:sz="4" w:space="0"/>
            </w:tcBorders>
          </w:tcPr>
          <w:p>
            <w:pPr>
              <w:bidi w:val="0"/>
              <w:rPr>
                <w:rFonts w:hint="default"/>
                <w:color w:val="auto"/>
                <w:lang w:val="en-US" w:eastAsia="zh-CN"/>
              </w:rPr>
            </w:pPr>
          </w:p>
        </w:tc>
        <w:tc>
          <w:tcPr>
            <w:tcW w:w="1276"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Sync</w:t>
            </w:r>
          </w:p>
        </w:tc>
        <w:tc>
          <w:tcPr>
            <w:tcW w:w="1488"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Async</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Sync</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FR1</w:t>
            </w:r>
          </w:p>
        </w:tc>
        <w:tc>
          <w:tcPr>
            <w:tcW w:w="1276"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1 ms</w:t>
            </w:r>
          </w:p>
        </w:tc>
        <w:tc>
          <w:tcPr>
            <w:tcW w:w="1488"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2 ms</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1 ms</w:t>
            </w:r>
          </w:p>
        </w:tc>
        <w:tc>
          <w:tcPr>
            <w:tcW w:w="1484"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dxa"/>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FR2</w:t>
            </w:r>
          </w:p>
        </w:tc>
        <w:tc>
          <w:tcPr>
            <w:tcW w:w="2764"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0.75 ms</w:t>
            </w:r>
          </w:p>
        </w:tc>
        <w:tc>
          <w:tcPr>
            <w:tcW w:w="2968" w:type="dxa"/>
            <w:gridSpan w:val="2"/>
            <w:tcBorders>
              <w:top w:val="single" w:color="auto" w:sz="4" w:space="0"/>
              <w:left w:val="single" w:color="auto" w:sz="4" w:space="0"/>
              <w:bottom w:val="single" w:color="auto" w:sz="4" w:space="0"/>
              <w:right w:val="single" w:color="auto" w:sz="4" w:space="0"/>
            </w:tcBorders>
          </w:tcPr>
          <w:p>
            <w:pPr>
              <w:bidi w:val="0"/>
              <w:rPr>
                <w:rFonts w:hint="default"/>
                <w:color w:val="auto"/>
                <w:lang w:val="en-US" w:eastAsia="zh-CN"/>
              </w:rPr>
            </w:pPr>
            <w:r>
              <w:rPr>
                <w:rFonts w:hint="default"/>
                <w:color w:val="auto"/>
                <w:lang w:val="en-US" w:eastAsia="zh-CN"/>
              </w:rPr>
              <w:t>0.75 ms</w:t>
            </w:r>
          </w:p>
        </w:tc>
      </w:tr>
      <w:bookmarkEnd w:id="1"/>
    </w:tbl>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lang w:val="en-US" w:eastAsia="zh-CN"/>
        </w:rPr>
      </w:pPr>
    </w:p>
    <w:p>
      <w:pPr>
        <w:pStyle w:val="4"/>
        <w:bidi w:val="0"/>
        <w:rPr>
          <w:rFonts w:hint="default"/>
          <w:color w:val="auto"/>
          <w:sz w:val="28"/>
          <w:szCs w:val="28"/>
          <w:lang w:val="en-US" w:eastAsia="zh-CN"/>
        </w:rPr>
      </w:pPr>
      <w:r>
        <w:rPr>
          <w:rFonts w:hint="eastAsia"/>
          <w:color w:val="auto"/>
          <w:sz w:val="28"/>
          <w:szCs w:val="28"/>
          <w:lang w:val="en-US" w:eastAsia="zh-CN"/>
        </w:rPr>
        <w:t xml:space="preserve">2.3 Relation with </w:t>
      </w:r>
      <w:r>
        <w:rPr>
          <w:rFonts w:hint="default"/>
          <w:color w:val="auto"/>
          <w:sz w:val="28"/>
          <w:szCs w:val="28"/>
          <w:lang w:val="en-US" w:eastAsia="zh-CN"/>
        </w:rPr>
        <w:t>‘</w:t>
      </w:r>
      <w:r>
        <w:rPr>
          <w:rFonts w:hint="eastAsia"/>
          <w:color w:val="auto"/>
          <w:sz w:val="28"/>
          <w:szCs w:val="28"/>
          <w:lang w:val="en-US" w:eastAsia="zh-CN"/>
        </w:rPr>
        <w:t>NeedForGap</w:t>
      </w:r>
      <w:r>
        <w:rPr>
          <w:rFonts w:hint="default"/>
          <w:color w:val="auto"/>
          <w:sz w:val="28"/>
          <w:szCs w:val="28"/>
          <w:lang w:val="en-US" w:eastAsia="zh-CN"/>
        </w:rPr>
        <w:t>’</w:t>
      </w:r>
    </w:p>
    <w:p>
      <w:pPr>
        <w:pStyle w:val="3"/>
        <w:keepNext w:val="0"/>
        <w:keepLines w:val="0"/>
        <w:pageBreakBefore w:val="0"/>
        <w:widowControl/>
        <w:kinsoku/>
        <w:wordWrap/>
        <w:overflowPunct/>
        <w:topLinePunct w:val="0"/>
        <w:autoSpaceDE/>
        <w:autoSpaceDN/>
        <w:bidi w:val="0"/>
        <w:adjustRightInd/>
        <w:snapToGrid/>
        <w:textAlignment w:val="auto"/>
        <w:rPr>
          <w:rFonts w:hint="default"/>
          <w:color w:val="auto"/>
          <w:sz w:val="28"/>
          <w:szCs w:val="28"/>
          <w:lang w:val="en-US" w:eastAsia="zh-CN"/>
        </w:rPr>
      </w:pPr>
      <w:r>
        <w:rPr>
          <w:rFonts w:hint="eastAsia" w:eastAsia="宋体"/>
          <w:color w:val="auto"/>
          <w:sz w:val="21"/>
          <w:szCs w:val="21"/>
          <w:lang w:val="en-US" w:eastAsia="zh-CN"/>
        </w:rPr>
        <w:t>Considering for this issue, the following options were discussed during 98bis e-meeting.</w:t>
      </w:r>
    </w:p>
    <w:p>
      <w:pPr>
        <w:pStyle w:val="26"/>
        <w:numPr>
          <w:ilvl w:val="0"/>
          <w:numId w:val="15"/>
        </w:numPr>
        <w:ind w:left="42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Option 1: The ‘Nee</w:t>
      </w:r>
      <w:r>
        <w:rPr>
          <w:rFonts w:hint="eastAsia" w:ascii="Times New Roman" w:hAnsi="Times New Roman" w:cs="Times New Roman" w:eastAsiaTheme="minorEastAsia"/>
          <w:color w:val="auto"/>
          <w:lang w:val="en-US" w:eastAsia="zh-CN"/>
        </w:rPr>
        <w:t>d</w:t>
      </w:r>
      <w:r>
        <w:rPr>
          <w:rFonts w:hint="default" w:ascii="Times New Roman" w:hAnsi="Times New Roman" w:cs="Times New Roman" w:eastAsiaTheme="minorEastAsia"/>
          <w:color w:val="auto"/>
          <w:lang w:val="en-US" w:eastAsia="zh-CN"/>
        </w:rPr>
        <w:t>ForGap’ signaling structure can be reused for NR NCSG as a start point</w:t>
      </w:r>
    </w:p>
    <w:p>
      <w:pPr>
        <w:pStyle w:val="26"/>
        <w:numPr>
          <w:ilvl w:val="0"/>
          <w:numId w:val="16"/>
        </w:numPr>
        <w:ind w:left="84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Option 1a: Rel-17 NCSG capability is reported on top of existing RAN2 ‘NeedForGap’</w:t>
      </w:r>
      <w:r>
        <w:rPr>
          <w:rFonts w:hint="eastAsia" w:ascii="Times New Roman" w:hAnsi="Times New Roman" w:cs="Times New Roman" w:eastAsiaTheme="minorEastAsia"/>
          <w:color w:val="auto"/>
          <w:lang w:val="en-US" w:eastAsia="zh-CN"/>
        </w:rPr>
        <w:t xml:space="preserve"> s</w:t>
      </w:r>
      <w:r>
        <w:rPr>
          <w:rFonts w:hint="default" w:ascii="Times New Roman" w:hAnsi="Times New Roman" w:cs="Times New Roman" w:eastAsiaTheme="minorEastAsia"/>
          <w:color w:val="auto"/>
          <w:lang w:val="en-US" w:eastAsia="zh-CN"/>
        </w:rPr>
        <w:t xml:space="preserve">ignaling structure with a new component ‘NCSG’. </w:t>
      </w:r>
    </w:p>
    <w:p>
      <w:pPr>
        <w:pStyle w:val="26"/>
        <w:numPr>
          <w:ilvl w:val="0"/>
          <w:numId w:val="16"/>
        </w:numPr>
        <w:ind w:left="84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 xml:space="preserve">Option 1b: Extend the Rel-16 ‘NeedForGap’ </w:t>
      </w:r>
      <w:r>
        <w:rPr>
          <w:rFonts w:hint="eastAsia" w:ascii="Times New Roman" w:hAnsi="Times New Roman" w:cs="Times New Roman" w:eastAsiaTheme="minorEastAsia"/>
          <w:color w:val="auto"/>
          <w:lang w:val="en-US" w:eastAsia="zh-CN"/>
        </w:rPr>
        <w:t>s</w:t>
      </w:r>
      <w:r>
        <w:rPr>
          <w:rFonts w:hint="default" w:ascii="Times New Roman" w:hAnsi="Times New Roman" w:cs="Times New Roman" w:eastAsiaTheme="minorEastAsia"/>
          <w:color w:val="auto"/>
          <w:lang w:val="en-US" w:eastAsia="zh-CN"/>
        </w:rPr>
        <w:t xml:space="preserve">ignaling for UE to indicate </w:t>
      </w:r>
    </w:p>
    <w:p>
      <w:pPr>
        <w:pStyle w:val="26"/>
        <w:numPr>
          <w:ilvl w:val="0"/>
          <w:numId w:val="17"/>
        </w:numPr>
        <w:ind w:left="0" w:leftChars="0" w:firstLine="84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Need for normal MG, or</w:t>
      </w:r>
    </w:p>
    <w:p>
      <w:pPr>
        <w:pStyle w:val="26"/>
        <w:numPr>
          <w:ilvl w:val="0"/>
          <w:numId w:val="17"/>
        </w:numPr>
        <w:ind w:left="0" w:leftChars="0" w:firstLine="84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No need for normal MG but NCSG, or</w:t>
      </w:r>
    </w:p>
    <w:p>
      <w:pPr>
        <w:pStyle w:val="26"/>
        <w:numPr>
          <w:ilvl w:val="0"/>
          <w:numId w:val="17"/>
        </w:numPr>
        <w:ind w:left="0" w:leftChars="0" w:firstLine="84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 xml:space="preserve">No need for either normal MG or NCSG </w:t>
      </w:r>
    </w:p>
    <w:p>
      <w:pPr>
        <w:pStyle w:val="26"/>
        <w:numPr>
          <w:ilvl w:val="0"/>
          <w:numId w:val="18"/>
        </w:numPr>
        <w:ind w:left="42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 xml:space="preserve">Option 2: Don’t reuse Rel-16 ‘NeedForGap’ </w:t>
      </w:r>
      <w:r>
        <w:rPr>
          <w:rFonts w:hint="eastAsia" w:ascii="Times New Roman" w:hAnsi="Times New Roman" w:cs="Times New Roman" w:eastAsiaTheme="minorEastAsia"/>
          <w:color w:val="auto"/>
          <w:lang w:val="en-US" w:eastAsia="zh-CN"/>
        </w:rPr>
        <w:t>s</w:t>
      </w:r>
      <w:r>
        <w:rPr>
          <w:rFonts w:hint="default" w:ascii="Times New Roman" w:hAnsi="Times New Roman" w:cs="Times New Roman" w:eastAsiaTheme="minorEastAsia"/>
          <w:color w:val="auto"/>
          <w:lang w:val="en-US" w:eastAsia="zh-CN"/>
        </w:rPr>
        <w:t>ignaling for NCSG</w:t>
      </w:r>
    </w:p>
    <w:p>
      <w:pPr>
        <w:pStyle w:val="26"/>
        <w:numPr>
          <w:ilvl w:val="0"/>
          <w:numId w:val="18"/>
        </w:numPr>
        <w:ind w:left="42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Option 3: NR NCSG signaling is introduced newly, independent from Rel-16 ‘Needforgap’</w:t>
      </w: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lang w:val="en-US" w:eastAsia="zh-CN"/>
        </w:rPr>
        <w:t>signaling, e.g., NCSG, No-NCSG.</w:t>
      </w:r>
    </w:p>
    <w:p>
      <w:pPr>
        <w:pStyle w:val="26"/>
        <w:numPr>
          <w:ilvl w:val="0"/>
          <w:numId w:val="18"/>
        </w:numPr>
        <w:ind w:left="420" w:leftChars="0" w:hanging="42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Option 4: Let RAN2 decide NCSG signaling details and any relation between NCSG and ‘NeedForGap’</w:t>
      </w: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lang w:val="en-US" w:eastAsia="zh-CN"/>
        </w:rPr>
        <w:t>based on RAN4 technical input on NCSG pattern design</w:t>
      </w:r>
    </w:p>
    <w:p>
      <w:pPr>
        <w:pStyle w:val="26"/>
        <w:numPr>
          <w:ilvl w:val="0"/>
          <w:numId w:val="18"/>
        </w:numPr>
        <w:ind w:left="420" w:leftChars="0" w:hanging="420" w:firstLineChars="0"/>
        <w:rPr>
          <w:rFonts w:hint="default"/>
          <w:color w:val="auto"/>
          <w:sz w:val="28"/>
          <w:szCs w:val="28"/>
          <w:lang w:val="en-US" w:eastAsia="zh-CN"/>
        </w:rPr>
      </w:pPr>
      <w:r>
        <w:rPr>
          <w:rFonts w:hint="default" w:ascii="Times New Roman" w:hAnsi="Times New Roman" w:cs="Times New Roman" w:eastAsiaTheme="minorEastAsia"/>
          <w:color w:val="auto"/>
          <w:lang w:val="en-US" w:eastAsia="zh-CN"/>
        </w:rPr>
        <w:t xml:space="preserve">Option 5: FFS </w:t>
      </w:r>
      <w:r>
        <w:rPr>
          <w:rFonts w:hint="default" w:ascii="Times New Roman" w:hAnsi="Times New Roman" w:cs="Times New Roman"/>
          <w:color w:val="auto"/>
        </w:rPr>
        <w:t xml:space="preserve">when the NCSG pattern design as well </w:t>
      </w:r>
      <w:r>
        <w:rPr>
          <w:rFonts w:hint="default" w:ascii="Times New Roman" w:hAnsi="Times New Roman" w:cs="Times New Roman"/>
          <w:color w:val="auto"/>
        </w:rPr>
        <w:tab/>
      </w:r>
      <w:r>
        <w:rPr>
          <w:rFonts w:hint="default" w:ascii="Times New Roman" w:hAnsi="Times New Roman" w:cs="Times New Roman"/>
          <w:color w:val="auto"/>
        </w:rPr>
        <w:t>as NCSG applicability and UE capability support are finalized.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In NR Rel-16, a </w:t>
      </w:r>
      <w:r>
        <w:rPr>
          <w:rFonts w:hint="default" w:ascii="Times New Roman" w:hAnsi="Times New Roman"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NeedForGap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 xml:space="preserve"> mechanism was introduced without RAN4 requirements. The UE can report whether it supports </w:t>
      </w:r>
      <w:r>
        <w:rPr>
          <w:rFonts w:hint="default" w:ascii="Times New Roman" w:hAnsi="Times New Roman"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no 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w:t>
      </w:r>
      <w:r>
        <w:rPr>
          <w:rFonts w:hint="eastAsia" w:ascii="Times New Roman" w:hAnsi="Times New Roman" w:eastAsia="宋体" w:cs="Times New Roman"/>
          <w:color w:val="auto"/>
          <w:kern w:val="0"/>
          <w:sz w:val="21"/>
          <w:szCs w:val="21"/>
          <w:lang w:val="en-US" w:eastAsia="zh-CN" w:bidi="ar-SA"/>
        </w:rPr>
        <w:t xml:space="preserve">measurement in specific bands under its current band combination. </w:t>
      </w:r>
      <w:r>
        <w:rPr>
          <w:rFonts w:hint="eastAsia" w:ascii="Times New Roman" w:hAnsi="Times New Roman" w:cs="Times New Roman"/>
          <w:color w:val="auto"/>
          <w:kern w:val="0"/>
          <w:sz w:val="21"/>
          <w:szCs w:val="21"/>
          <w:lang w:val="en-US" w:eastAsia="zh-CN" w:bidi="ar-SA"/>
        </w:rPr>
        <w:t xml:space="preserve">If </w:t>
      </w:r>
      <w:r>
        <w:rPr>
          <w:rFonts w:hint="eastAsia" w:ascii="Times New Roman" w:hAnsi="Times New Roman" w:eastAsia="宋体" w:cs="Times New Roman"/>
          <w:color w:val="auto"/>
          <w:kern w:val="0"/>
          <w:sz w:val="21"/>
          <w:szCs w:val="21"/>
          <w:lang w:val="en-US" w:eastAsia="zh-CN" w:bidi="ar-SA"/>
        </w:rPr>
        <w:t xml:space="preserve">UE reports </w:t>
      </w:r>
      <w:r>
        <w:rPr>
          <w:rFonts w:hint="default" w:ascii="Times New Roman" w:hAnsi="Times New Roman"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no 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 xml:space="preserve"> for some specific bands, it means measurement gap is unnecessary on </w:t>
      </w:r>
      <w:r>
        <w:rPr>
          <w:rFonts w:hint="eastAsia" w:ascii="Times New Roman" w:hAnsi="Times New Roman" w:cs="Times New Roman"/>
          <w:color w:val="auto"/>
          <w:kern w:val="0"/>
          <w:sz w:val="21"/>
          <w:szCs w:val="21"/>
          <w:lang w:val="en-US" w:eastAsia="zh-CN" w:bidi="ar-SA"/>
        </w:rPr>
        <w:t xml:space="preserve">the corresponding </w:t>
      </w:r>
      <w:r>
        <w:rPr>
          <w:rFonts w:hint="eastAsia" w:ascii="Times New Roman" w:hAnsi="Times New Roman" w:eastAsia="宋体" w:cs="Times New Roman"/>
          <w:color w:val="auto"/>
          <w:kern w:val="0"/>
          <w:sz w:val="21"/>
          <w:szCs w:val="21"/>
          <w:lang w:val="en-US" w:eastAsia="zh-CN" w:bidi="ar-SA"/>
        </w:rPr>
        <w:t xml:space="preserve">bands. </w:t>
      </w:r>
      <w:r>
        <w:rPr>
          <w:rFonts w:hint="eastAsia" w:ascii="Times New Roman" w:hAnsi="Times New Roman" w:cs="Times New Roman"/>
          <w:color w:val="auto"/>
          <w:kern w:val="0"/>
          <w:sz w:val="21"/>
          <w:szCs w:val="21"/>
          <w:lang w:val="en-US" w:eastAsia="zh-CN" w:bidi="ar-SA"/>
        </w:rPr>
        <w:t xml:space="preserve">Otherwise, if UE reports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for some specific bands, it means measurement gap is necessary on the corresponding bands.</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bidi="ar-SA"/>
        </w:rPr>
        <w:t xml:space="preserve">We can believe that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NCSG</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is an intermediate status between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and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no 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in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NeedForGap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mechanism means corresponding measurement should be performed with gap and with interruption;</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no 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in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NeedForGap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mechanism means corresponding measurement can be performed without any gap and interruption;</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NCSG</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in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NeedForGap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mechanism means corresponding measurement should be performed with network controlled small interruption, and without any gap.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bidi="ar-SA"/>
        </w:rPr>
        <w:t xml:space="preserve">So, </w:t>
      </w:r>
      <w:bookmarkStart w:id="4" w:name="OLE_LINK3"/>
      <w:r>
        <w:rPr>
          <w:rFonts w:hint="eastAsia" w:ascii="Times New Roman" w:hAnsi="Times New Roman" w:cs="Times New Roman"/>
          <w:color w:val="auto"/>
          <w:kern w:val="0"/>
          <w:sz w:val="21"/>
          <w:szCs w:val="21"/>
          <w:lang w:val="en-US" w:eastAsia="zh-CN" w:bidi="ar-SA"/>
        </w:rPr>
        <w:t xml:space="preserve">expanding the existing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NeedForGap</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xml:space="preserve"> mechanism with an additional component </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NCSG</w:t>
      </w:r>
      <w:r>
        <w:rPr>
          <w:rFonts w:hint="default" w:ascii="Times New Roman" w:hAns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 which is an intuitive, simple, and effective method, instead of introducing some new UE capability reporting singaling.</w:t>
      </w:r>
      <w:bookmarkEnd w:id="4"/>
      <w:r>
        <w:rPr>
          <w:rFonts w:hint="eastAsia" w:ascii="Times New Roman" w:hAnsi="Times New Roman" w:cs="Times New Roman"/>
          <w:color w:val="auto"/>
          <w:kern w:val="0"/>
          <w:sz w:val="21"/>
          <w:szCs w:val="21"/>
          <w:lang w:val="en-US" w:eastAsia="zh-CN" w:bidi="ar-SA"/>
        </w:rPr>
        <w:t xml:space="preserve"> Option 1b is our preference.</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eastAsia" w:ascii="Times New Roman" w:hAnsi="Times New Roman" w:eastAsia="宋体" w:cs="Times New Roman"/>
          <w:b/>
          <w:bCs/>
          <w:color w:val="auto"/>
          <w:sz w:val="21"/>
          <w:szCs w:val="21"/>
          <w:lang w:val="en-US" w:eastAsia="zh-CN" w:bidi="ar-SA"/>
        </w:rPr>
      </w:pPr>
      <w:bookmarkStart w:id="5" w:name="OLE_LINK2"/>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Times New Roman" w:hAnsi="Times New Roman" w:eastAsia="宋体" w:cs="Times New Roman"/>
          <w:b/>
          <w:bCs/>
          <w:color w:val="auto"/>
          <w:sz w:val="21"/>
          <w:szCs w:val="21"/>
          <w:lang w:val="en-US" w:eastAsia="zh-CN" w:bidi="ar-SA"/>
        </w:rPr>
        <w:t xml:space="preserve">: NCSG capability </w:t>
      </w:r>
      <w:r>
        <w:rPr>
          <w:rFonts w:hint="eastAsia" w:eastAsia="宋体" w:cs="Times New Roman"/>
          <w:b/>
          <w:bCs/>
          <w:color w:val="auto"/>
          <w:sz w:val="21"/>
          <w:szCs w:val="21"/>
          <w:lang w:val="en-US" w:eastAsia="zh-CN" w:bidi="ar-SA"/>
        </w:rPr>
        <w:t xml:space="preserve">can be </w:t>
      </w:r>
      <w:r>
        <w:rPr>
          <w:rFonts w:hint="eastAsia" w:ascii="Times New Roman" w:hAnsi="Times New Roman" w:eastAsia="宋体" w:cs="Times New Roman"/>
          <w:b/>
          <w:bCs/>
          <w:color w:val="auto"/>
          <w:sz w:val="21"/>
          <w:szCs w:val="21"/>
          <w:lang w:val="en-US" w:eastAsia="zh-CN" w:bidi="ar-SA"/>
        </w:rPr>
        <w:t xml:space="preserve">reported on top of </w:t>
      </w:r>
      <w:r>
        <w:rPr>
          <w:rFonts w:hint="eastAsia" w:eastAsia="宋体" w:cs="Times New Roman"/>
          <w:b/>
          <w:bCs/>
          <w:color w:val="auto"/>
          <w:sz w:val="21"/>
          <w:szCs w:val="21"/>
          <w:lang w:val="en-US" w:eastAsia="zh-CN" w:bidi="ar-SA"/>
        </w:rPr>
        <w:t xml:space="preserve">the </w:t>
      </w:r>
      <w:r>
        <w:rPr>
          <w:rFonts w:hint="eastAsia" w:ascii="Times New Roman" w:hAnsi="Times New Roman" w:eastAsia="宋体" w:cs="Times New Roman"/>
          <w:b/>
          <w:bCs/>
          <w:color w:val="auto"/>
          <w:sz w:val="21"/>
          <w:szCs w:val="21"/>
          <w:lang w:val="en-US" w:eastAsia="zh-CN" w:bidi="ar-SA"/>
        </w:rPr>
        <w:t xml:space="preserve">existing </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NeedForGap</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 xml:space="preserve"> signaling structure with a</w:t>
      </w:r>
      <w:r>
        <w:rPr>
          <w:rFonts w:hint="eastAsia" w:eastAsia="宋体" w:cs="Times New Roman"/>
          <w:b/>
          <w:bCs/>
          <w:color w:val="auto"/>
          <w:sz w:val="21"/>
          <w:szCs w:val="21"/>
          <w:lang w:val="en-US" w:eastAsia="zh-CN" w:bidi="ar-SA"/>
        </w:rPr>
        <w:t>n</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additional </w:t>
      </w:r>
      <w:r>
        <w:rPr>
          <w:rFonts w:hint="eastAsia" w:ascii="Times New Roman" w:hAnsi="Times New Roman" w:eastAsia="宋体" w:cs="Times New Roman"/>
          <w:b/>
          <w:bCs/>
          <w:color w:val="auto"/>
          <w:sz w:val="21"/>
          <w:szCs w:val="21"/>
          <w:lang w:val="en-US" w:eastAsia="zh-CN" w:bidi="ar-SA"/>
        </w:rPr>
        <w:t xml:space="preserve">component </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NCSG</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 xml:space="preserve">. </w:t>
      </w:r>
    </w:p>
    <w:bookmarkEnd w:id="5"/>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NCSG</w:t>
      </w:r>
      <w:r>
        <w:rPr>
          <w:rFonts w:eastAsia="宋体"/>
          <w:bCs/>
          <w:color w:val="auto"/>
          <w:sz w:val="21"/>
          <w:szCs w:val="21"/>
          <w:lang w:val="en-GB" w:eastAsia="zh-CN"/>
        </w:rPr>
        <w:t>:</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1"/>
          <w:szCs w:val="21"/>
          <w:lang w:val="en-US" w:eastAsia="zh-CN"/>
        </w:rPr>
      </w:pPr>
      <w:r>
        <w:rPr>
          <w:rFonts w:eastAsia="宋体"/>
          <w:b/>
          <w:bCs/>
          <w:color w:val="auto"/>
          <w:sz w:val="21"/>
          <w:szCs w:val="21"/>
          <w:lang w:val="en-GB" w:eastAsia="zh-CN"/>
        </w:rPr>
        <w:t>Proposal 1:</w:t>
      </w:r>
      <w:r>
        <w:rPr>
          <w:rFonts w:hint="eastAsia" w:eastAsia="宋体"/>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bidi="ar-SA"/>
        </w:rPr>
        <w:t>Define NCSG patterns corresponding to legacy gap patterns with ID # 0 to ID #23.</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There is no need to separate NCSG patterns needed for synchronous and asynchronous operations.</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3: The VIL can be defined as the absolute time of ms or interrupted slots, the duration of VIL should be larger than RRT. For the exact value, refer to the following table.</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default" w:eastAsia="宋体"/>
          <w:b/>
          <w:bCs/>
          <w:color w:val="auto"/>
          <w:sz w:val="21"/>
          <w:szCs w:val="21"/>
          <w:lang w:val="en-US" w:eastAsia="zh-CN"/>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Times New Roman" w:hAnsi="Times New Roman" w:eastAsia="宋体" w:cs="Times New Roman"/>
          <w:b/>
          <w:bCs/>
          <w:color w:val="auto"/>
          <w:sz w:val="21"/>
          <w:szCs w:val="21"/>
          <w:lang w:val="en-US" w:eastAsia="zh-CN" w:bidi="ar-SA"/>
        </w:rPr>
        <w:t xml:space="preserve">: NCSG capability </w:t>
      </w:r>
      <w:r>
        <w:rPr>
          <w:rFonts w:hint="eastAsia" w:eastAsia="宋体" w:cs="Times New Roman"/>
          <w:b/>
          <w:bCs/>
          <w:color w:val="auto"/>
          <w:sz w:val="21"/>
          <w:szCs w:val="21"/>
          <w:lang w:val="en-US" w:eastAsia="zh-CN" w:bidi="ar-SA"/>
        </w:rPr>
        <w:t xml:space="preserve">can be </w:t>
      </w:r>
      <w:r>
        <w:rPr>
          <w:rFonts w:hint="eastAsia" w:ascii="Times New Roman" w:hAnsi="Times New Roman" w:eastAsia="宋体" w:cs="Times New Roman"/>
          <w:b/>
          <w:bCs/>
          <w:color w:val="auto"/>
          <w:sz w:val="21"/>
          <w:szCs w:val="21"/>
          <w:lang w:val="en-US" w:eastAsia="zh-CN" w:bidi="ar-SA"/>
        </w:rPr>
        <w:t xml:space="preserve">reported on top of </w:t>
      </w:r>
      <w:r>
        <w:rPr>
          <w:rFonts w:hint="eastAsia" w:eastAsia="宋体" w:cs="Times New Roman"/>
          <w:b/>
          <w:bCs/>
          <w:color w:val="auto"/>
          <w:sz w:val="21"/>
          <w:szCs w:val="21"/>
          <w:lang w:val="en-US" w:eastAsia="zh-CN" w:bidi="ar-SA"/>
        </w:rPr>
        <w:t xml:space="preserve">the </w:t>
      </w:r>
      <w:r>
        <w:rPr>
          <w:rFonts w:hint="eastAsia" w:ascii="Times New Roman" w:hAnsi="Times New Roman" w:eastAsia="宋体" w:cs="Times New Roman"/>
          <w:b/>
          <w:bCs/>
          <w:color w:val="auto"/>
          <w:sz w:val="21"/>
          <w:szCs w:val="21"/>
          <w:lang w:val="en-US" w:eastAsia="zh-CN" w:bidi="ar-SA"/>
        </w:rPr>
        <w:t xml:space="preserve">existing </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NeedForGap</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 xml:space="preserve"> signaling structure with a</w:t>
      </w:r>
      <w:r>
        <w:rPr>
          <w:rFonts w:hint="eastAsia" w:eastAsia="宋体" w:cs="Times New Roman"/>
          <w:b/>
          <w:bCs/>
          <w:color w:val="auto"/>
          <w:sz w:val="21"/>
          <w:szCs w:val="21"/>
          <w:lang w:val="en-US" w:eastAsia="zh-CN" w:bidi="ar-SA"/>
        </w:rPr>
        <w:t>n</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additional </w:t>
      </w:r>
      <w:r>
        <w:rPr>
          <w:rFonts w:hint="eastAsia" w:ascii="Times New Roman" w:hAnsi="Times New Roman" w:eastAsia="宋体" w:cs="Times New Roman"/>
          <w:b/>
          <w:bCs/>
          <w:color w:val="auto"/>
          <w:sz w:val="21"/>
          <w:szCs w:val="21"/>
          <w:lang w:val="en-US" w:eastAsia="zh-CN" w:bidi="ar-SA"/>
        </w:rPr>
        <w:t xml:space="preserve">component </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NCSG</w:t>
      </w:r>
      <w:r>
        <w:rPr>
          <w:rFonts w:hint="default" w:eastAsia="宋体" w:cs="Times New Roman"/>
          <w:b/>
          <w:bCs/>
          <w:color w:val="auto"/>
          <w:sz w:val="21"/>
          <w:szCs w:val="21"/>
          <w:lang w:val="en-US" w:eastAsia="zh-CN" w:bidi="ar-SA"/>
        </w:rPr>
        <w:t>’</w:t>
      </w:r>
      <w:r>
        <w:rPr>
          <w:rFonts w:hint="eastAsia" w:ascii="Times New Roman" w:hAnsi="Times New Roman" w:eastAsia="宋体" w:cs="Times New Roman"/>
          <w:b/>
          <w:bCs/>
          <w:color w:val="auto"/>
          <w:sz w:val="21"/>
          <w:szCs w:val="21"/>
          <w:lang w:val="en-US" w:eastAsia="zh-CN" w:bidi="ar-SA"/>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r>
        <w:rPr>
          <w:rFonts w:hint="eastAsia"/>
          <w:color w:val="auto"/>
          <w:lang w:val="en-US" w:eastAsia="zh-CN"/>
        </w:rPr>
        <w:t xml:space="preserve">R4-2108348, </w:t>
      </w:r>
      <w:r>
        <w:rPr>
          <w:rFonts w:hint="default"/>
          <w:color w:val="auto"/>
          <w:lang w:val="en-US" w:eastAsia="zh-CN"/>
        </w:rPr>
        <w:t>“</w:t>
      </w:r>
      <w:r>
        <w:rPr>
          <w:rFonts w:hint="eastAsia"/>
          <w:color w:val="auto"/>
          <w:lang w:val="en-US" w:eastAsia="zh-CN"/>
        </w:rPr>
        <w:t>WF on NCSG</w:t>
      </w:r>
      <w:r>
        <w:rPr>
          <w:rFonts w:hint="default"/>
          <w:color w:val="auto"/>
          <w:lang w:val="en-US" w:eastAsia="zh-CN"/>
        </w:rPr>
        <w:t>”</w:t>
      </w:r>
      <w:r>
        <w:rPr>
          <w:rFonts w:hint="eastAsia"/>
          <w:color w:val="auto"/>
          <w:lang w:val="en-US" w:eastAsia="zh-CN"/>
        </w:rPr>
        <w:t xml:space="preserve">, RAN4#99 e-meeting, Intel, . </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C2BED"/>
    <w:multiLevelType w:val="singleLevel"/>
    <w:tmpl w:val="8EBC2BED"/>
    <w:lvl w:ilvl="0" w:tentative="0">
      <w:start w:val="1"/>
      <w:numFmt w:val="bullet"/>
      <w:lvlText w:val=""/>
      <w:lvlJc w:val="left"/>
      <w:pPr>
        <w:tabs>
          <w:tab w:val="left" w:pos="420"/>
        </w:tabs>
        <w:ind w:left="840" w:hanging="420"/>
      </w:pPr>
      <w:rPr>
        <w:rFonts w:hint="default" w:ascii="Wingdings" w:hAnsi="Wingdings"/>
      </w:rPr>
    </w:lvl>
  </w:abstractNum>
  <w:abstractNum w:abstractNumId="1">
    <w:nsid w:val="97538576"/>
    <w:multiLevelType w:val="singleLevel"/>
    <w:tmpl w:val="97538576"/>
    <w:lvl w:ilvl="0" w:tentative="0">
      <w:start w:val="1"/>
      <w:numFmt w:val="bullet"/>
      <w:lvlText w:val=""/>
      <w:lvlJc w:val="left"/>
      <w:pPr>
        <w:tabs>
          <w:tab w:val="left" w:pos="-420"/>
        </w:tabs>
        <w:ind w:left="0" w:hanging="420"/>
      </w:pPr>
      <w:rPr>
        <w:rFonts w:hint="default" w:ascii="Wingdings" w:hAnsi="Wingdings"/>
      </w:rPr>
    </w:lvl>
  </w:abstractNum>
  <w:abstractNum w:abstractNumId="2">
    <w:nsid w:val="A1433CFE"/>
    <w:multiLevelType w:val="singleLevel"/>
    <w:tmpl w:val="A1433CFE"/>
    <w:lvl w:ilvl="0" w:tentative="0">
      <w:start w:val="1"/>
      <w:numFmt w:val="bullet"/>
      <w:lvlText w:val=""/>
      <w:lvlJc w:val="left"/>
      <w:pPr>
        <w:tabs>
          <w:tab w:val="left" w:pos="420"/>
        </w:tabs>
        <w:ind w:left="840" w:hanging="420"/>
      </w:pPr>
      <w:rPr>
        <w:rFonts w:hint="default" w:ascii="Wingdings" w:hAnsi="Wingdings"/>
      </w:rPr>
    </w:lvl>
  </w:abstractNum>
  <w:abstractNum w:abstractNumId="3">
    <w:nsid w:val="AC4FCE8D"/>
    <w:multiLevelType w:val="singleLevel"/>
    <w:tmpl w:val="AC4FCE8D"/>
    <w:lvl w:ilvl="0" w:tentative="0">
      <w:start w:val="1"/>
      <w:numFmt w:val="bullet"/>
      <w:lvlText w:val=""/>
      <w:lvlJc w:val="left"/>
      <w:pPr>
        <w:ind w:left="420" w:hanging="420"/>
      </w:pPr>
      <w:rPr>
        <w:rFonts w:hint="default" w:ascii="Wingdings" w:hAnsi="Wingdings"/>
      </w:rPr>
    </w:lvl>
  </w:abstractNum>
  <w:abstractNum w:abstractNumId="4">
    <w:nsid w:val="D8391718"/>
    <w:multiLevelType w:val="singleLevel"/>
    <w:tmpl w:val="D8391718"/>
    <w:lvl w:ilvl="0" w:tentative="0">
      <w:start w:val="1"/>
      <w:numFmt w:val="bullet"/>
      <w:lvlText w:val=""/>
      <w:lvlJc w:val="left"/>
      <w:pPr>
        <w:tabs>
          <w:tab w:val="left" w:pos="-420"/>
        </w:tabs>
        <w:ind w:left="0" w:hanging="420"/>
      </w:pPr>
      <w:rPr>
        <w:rFonts w:hint="default" w:ascii="Wingdings" w:hAnsi="Wingdings"/>
      </w:rPr>
    </w:lvl>
  </w:abstractNum>
  <w:abstractNum w:abstractNumId="5">
    <w:nsid w:val="FA7F2337"/>
    <w:multiLevelType w:val="singleLevel"/>
    <w:tmpl w:val="FA7F2337"/>
    <w:lvl w:ilvl="0" w:tentative="0">
      <w:start w:val="1"/>
      <w:numFmt w:val="bullet"/>
      <w:lvlText w:val=""/>
      <w:lvlJc w:val="left"/>
      <w:pPr>
        <w:ind w:left="420" w:hanging="420"/>
      </w:pPr>
      <w:rPr>
        <w:rFonts w:hint="default" w:ascii="Wingdings" w:hAnsi="Wingdings"/>
      </w:rPr>
    </w:lvl>
  </w:abstractNum>
  <w:abstractNum w:abstractNumId="6">
    <w:nsid w:val="06946D3A"/>
    <w:multiLevelType w:val="multilevel"/>
    <w:tmpl w:val="06946D3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7">
    <w:nsid w:val="0FF04C0C"/>
    <w:multiLevelType w:val="singleLevel"/>
    <w:tmpl w:val="0FF04C0C"/>
    <w:lvl w:ilvl="0" w:tentative="0">
      <w:start w:val="1"/>
      <w:numFmt w:val="bullet"/>
      <w:lvlText w:val=""/>
      <w:lvlJc w:val="left"/>
      <w:pPr>
        <w:ind w:left="420" w:hanging="420"/>
      </w:pPr>
      <w:rPr>
        <w:rFonts w:hint="default" w:ascii="Wingdings" w:hAnsi="Wingdings"/>
      </w:rPr>
    </w:lvl>
  </w:abstractNum>
  <w:abstractNum w:abstractNumId="8">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342E6A08"/>
    <w:multiLevelType w:val="singleLevel"/>
    <w:tmpl w:val="342E6A08"/>
    <w:lvl w:ilvl="0" w:tentative="0">
      <w:start w:val="1"/>
      <w:numFmt w:val="bullet"/>
      <w:lvlText w:val=""/>
      <w:lvlJc w:val="left"/>
      <w:pPr>
        <w:ind w:left="420" w:hanging="420"/>
      </w:pPr>
      <w:rPr>
        <w:rFonts w:hint="default" w:ascii="Wingdings" w:hAnsi="Wingdings"/>
      </w:rPr>
    </w:lvl>
  </w:abstractNum>
  <w:abstractNum w:abstractNumId="10">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148A852"/>
    <w:multiLevelType w:val="multilevel"/>
    <w:tmpl w:val="4148A8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15785F5"/>
    <w:multiLevelType w:val="singleLevel"/>
    <w:tmpl w:val="515785F5"/>
    <w:lvl w:ilvl="0" w:tentative="0">
      <w:start w:val="1"/>
      <w:numFmt w:val="bullet"/>
      <w:lvlText w:val=""/>
      <w:lvlJc w:val="left"/>
      <w:pPr>
        <w:ind w:left="420" w:hanging="420"/>
      </w:pPr>
      <w:rPr>
        <w:rFonts w:hint="default" w:ascii="Wingdings" w:hAnsi="Wingdings"/>
      </w:rPr>
    </w:lvl>
  </w:abstractNum>
  <w:abstractNum w:abstractNumId="14">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4B3FF50"/>
    <w:multiLevelType w:val="singleLevel"/>
    <w:tmpl w:val="54B3FF50"/>
    <w:lvl w:ilvl="0" w:tentative="0">
      <w:start w:val="1"/>
      <w:numFmt w:val="bullet"/>
      <w:lvlText w:val=""/>
      <w:lvlJc w:val="left"/>
      <w:pPr>
        <w:ind w:left="420" w:hanging="420"/>
      </w:pPr>
      <w:rPr>
        <w:rFonts w:hint="default" w:ascii="Wingdings" w:hAnsi="Wingdings"/>
      </w:rPr>
    </w:lvl>
  </w:abstractNum>
  <w:abstractNum w:abstractNumId="16">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7">
    <w:nsid w:val="6C48A62A"/>
    <w:multiLevelType w:val="singleLevel"/>
    <w:tmpl w:val="6C48A62A"/>
    <w:lvl w:ilvl="0" w:tentative="0">
      <w:start w:val="1"/>
      <w:numFmt w:val="bullet"/>
      <w:lvlText w:val=""/>
      <w:lvlJc w:val="left"/>
      <w:pPr>
        <w:ind w:left="420" w:hanging="420"/>
      </w:pPr>
      <w:rPr>
        <w:rFonts w:hint="default" w:ascii="Wingdings" w:hAnsi="Wingdings"/>
      </w:rPr>
    </w:lvl>
  </w:abstractNum>
  <w:num w:numId="1">
    <w:abstractNumId w:val="16"/>
  </w:num>
  <w:num w:numId="2">
    <w:abstractNumId w:val="12"/>
  </w:num>
  <w:num w:numId="3">
    <w:abstractNumId w:val="8"/>
  </w:num>
  <w:num w:numId="4">
    <w:abstractNumId w:val="10"/>
  </w:num>
  <w:num w:numId="5">
    <w:abstractNumId w:val="7"/>
  </w:num>
  <w:num w:numId="6">
    <w:abstractNumId w:val="9"/>
  </w:num>
  <w:num w:numId="7">
    <w:abstractNumId w:val="5"/>
  </w:num>
  <w:num w:numId="8">
    <w:abstractNumId w:val="17"/>
  </w:num>
  <w:num w:numId="9">
    <w:abstractNumId w:val="11"/>
  </w:num>
  <w:num w:numId="10">
    <w:abstractNumId w:val="14"/>
  </w:num>
  <w:num w:numId="11">
    <w:abstractNumId w:val="0"/>
  </w:num>
  <w:num w:numId="12">
    <w:abstractNumId w:val="6"/>
  </w:num>
  <w:num w:numId="13">
    <w:abstractNumId w:val="1"/>
  </w:num>
  <w:num w:numId="14">
    <w:abstractNumId w:val="4"/>
  </w:num>
  <w:num w:numId="15">
    <w:abstractNumId w:val="13"/>
  </w:num>
  <w:num w:numId="16">
    <w:abstractNumId w:val="2"/>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5847CFD"/>
    <w:rsid w:val="05C42923"/>
    <w:rsid w:val="07CD3CDD"/>
    <w:rsid w:val="0855671D"/>
    <w:rsid w:val="09716BCA"/>
    <w:rsid w:val="09E644B8"/>
    <w:rsid w:val="0BB0429A"/>
    <w:rsid w:val="148F5721"/>
    <w:rsid w:val="170F06AA"/>
    <w:rsid w:val="180A6E32"/>
    <w:rsid w:val="183F2CD2"/>
    <w:rsid w:val="18CD0507"/>
    <w:rsid w:val="1AD01A1B"/>
    <w:rsid w:val="1C177B08"/>
    <w:rsid w:val="1C9001C6"/>
    <w:rsid w:val="1CBA2101"/>
    <w:rsid w:val="1D223E0B"/>
    <w:rsid w:val="1E853F6F"/>
    <w:rsid w:val="1ECC1E3C"/>
    <w:rsid w:val="21244EB1"/>
    <w:rsid w:val="21F13629"/>
    <w:rsid w:val="24122135"/>
    <w:rsid w:val="26BB1419"/>
    <w:rsid w:val="2A7E505C"/>
    <w:rsid w:val="2BC05B2C"/>
    <w:rsid w:val="2BD617C5"/>
    <w:rsid w:val="2C112837"/>
    <w:rsid w:val="2F2F0FC8"/>
    <w:rsid w:val="31B14C9E"/>
    <w:rsid w:val="35B06C6A"/>
    <w:rsid w:val="36D37423"/>
    <w:rsid w:val="3A185287"/>
    <w:rsid w:val="3A692CD0"/>
    <w:rsid w:val="3B673620"/>
    <w:rsid w:val="3B9A1F29"/>
    <w:rsid w:val="3CE4646B"/>
    <w:rsid w:val="3D5E7AA8"/>
    <w:rsid w:val="3D6F2596"/>
    <w:rsid w:val="405F175E"/>
    <w:rsid w:val="40C765F3"/>
    <w:rsid w:val="42F869D2"/>
    <w:rsid w:val="43553536"/>
    <w:rsid w:val="451632B9"/>
    <w:rsid w:val="45F60A50"/>
    <w:rsid w:val="46B036BF"/>
    <w:rsid w:val="47282363"/>
    <w:rsid w:val="49E55BC5"/>
    <w:rsid w:val="4C1C63D6"/>
    <w:rsid w:val="4E4A2325"/>
    <w:rsid w:val="501A6C55"/>
    <w:rsid w:val="51B14BED"/>
    <w:rsid w:val="525C1CEF"/>
    <w:rsid w:val="53C64B93"/>
    <w:rsid w:val="55B1164D"/>
    <w:rsid w:val="55B4735E"/>
    <w:rsid w:val="56371459"/>
    <w:rsid w:val="59DA647E"/>
    <w:rsid w:val="5EB44FC0"/>
    <w:rsid w:val="5FBA395F"/>
    <w:rsid w:val="635902CD"/>
    <w:rsid w:val="64706BBE"/>
    <w:rsid w:val="64F2095B"/>
    <w:rsid w:val="67A858DB"/>
    <w:rsid w:val="69A833BD"/>
    <w:rsid w:val="6DDE3DAF"/>
    <w:rsid w:val="715F4C2D"/>
    <w:rsid w:val="72BF60CA"/>
    <w:rsid w:val="753811DE"/>
    <w:rsid w:val="75C759C1"/>
    <w:rsid w:val="762D64F3"/>
    <w:rsid w:val="775B4604"/>
    <w:rsid w:val="77C067C3"/>
    <w:rsid w:val="78911E31"/>
    <w:rsid w:val="7A8A5610"/>
    <w:rsid w:val="7A9367CB"/>
    <w:rsid w:val="7ABB60A3"/>
    <w:rsid w:val="7AF2257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2021-08-06T14:02:50Z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